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Fonts w:ascii="GT Walsheim Pro" w:cs="GT Walsheim Pro" w:eastAsia="GT Walsheim Pro" w:hAnsi="GT Walsheim Pro"/>
          <w:sz w:val="28"/>
          <w:szCs w:val="28"/>
          <w:rtl w:val="0"/>
        </w:rPr>
        <w:t xml:space="preserve">ATVIRAS MENINIŲ PASAKOJIMŲ KVIETIMAS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GT Walsheim Pro" w:cs="GT Walsheim Pro" w:eastAsia="GT Walsheim Pro" w:hAnsi="GT Walsheim Pro"/>
          <w:sz w:val="28"/>
          <w:szCs w:val="28"/>
        </w:rPr>
      </w:pPr>
      <w:r w:rsidDel="00000000" w:rsidR="00000000" w:rsidRPr="00000000">
        <w:rPr>
          <w:rFonts w:ascii="GT Walsheim Pro" w:cs="GT Walsheim Pro" w:eastAsia="GT Walsheim Pro" w:hAnsi="GT Walsheim Pro"/>
          <w:sz w:val="28"/>
          <w:szCs w:val="28"/>
          <w:rtl w:val="0"/>
        </w:rPr>
        <w:t xml:space="preserve">2020 gruodžio 23 d. – 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rFonts w:ascii="GT Walsheim Pro" w:cs="GT Walsheim Pro" w:eastAsia="GT Walsheim Pro" w:hAnsi="GT Walsheim Pro"/>
          <w:sz w:val="28"/>
          <w:szCs w:val="28"/>
          <w:rtl w:val="0"/>
        </w:rPr>
        <w:t xml:space="preserve">2021 sausio 22 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House Vilnius – atviros architektūros savaitgalis 2021 </w:t>
      </w:r>
      <w:r w:rsidDel="00000000" w:rsidR="00000000" w:rsidRPr="00000000">
        <w:rPr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4911593</wp:posOffset>
            </wp:positionH>
            <wp:positionV relativeFrom="page">
              <wp:posOffset>914400</wp:posOffset>
            </wp:positionV>
            <wp:extent cx="2364740" cy="89471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894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" w:cs="Helvetica" w:eastAsia="Helvetica" w:hAnsi="Helvetic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" w:cs="Helvetica" w:eastAsia="Helvetica" w:hAnsi="Helvetic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" w:cs="Helvetica" w:eastAsia="Helvetica" w:hAnsi="Helvetica"/>
          <w:b w:val="1"/>
          <w:sz w:val="20"/>
          <w:szCs w:val="20"/>
        </w:rPr>
      </w:pPr>
      <w:r w:rsidDel="00000000" w:rsidR="00000000" w:rsidRPr="00000000">
        <w:rPr>
          <w:rFonts w:ascii="Helvetica" w:cs="Helvetica" w:eastAsia="Helvetica" w:hAnsi="Helvetica"/>
          <w:b w:val="1"/>
          <w:sz w:val="20"/>
          <w:szCs w:val="20"/>
          <w:rtl w:val="0"/>
        </w:rPr>
        <w:t xml:space="preserve">MENINIO PASAKOJIMO SĄMATA</w:t>
      </w:r>
    </w:p>
    <w:p w:rsidR="00000000" w:rsidDel="00000000" w:rsidP="00000000" w:rsidRDefault="00000000" w:rsidRPr="00000000" w14:paraId="0000000C">
      <w:pPr>
        <w:rPr>
          <w:rFonts w:ascii="Helvetica" w:cs="Helvetica" w:eastAsia="Helvetica" w:hAnsi="Helvetic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7.7599559314345"/>
        <w:gridCol w:w="5770.025598652021"/>
        <w:gridCol w:w="1122.3161919574868"/>
        <w:gridCol w:w="1082.7050322413404"/>
        <w:gridCol w:w="1082.7050322413404"/>
        <w:tblGridChange w:id="0">
          <w:tblGrid>
            <w:gridCol w:w="567.7599559314345"/>
            <w:gridCol w:w="5770.025598652021"/>
            <w:gridCol w:w="1122.3161919574868"/>
            <w:gridCol w:w="1082.7050322413404"/>
            <w:gridCol w:w="1082.7050322413404"/>
          </w:tblGrid>
        </w:tblGridChange>
      </w:tblGrid>
      <w:tr>
        <w:trPr>
          <w:trHeight w:val="48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Helvetica" w:cs="Helvetica" w:eastAsia="Helvetica" w:hAnsi="Helvetic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i w:val="1"/>
                <w:sz w:val="20"/>
                <w:szCs w:val="20"/>
                <w:rtl w:val="0"/>
              </w:rPr>
              <w:t xml:space="preserve">Meninio pasakojimo pavadinimas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PROJEKTO BIUDŽETAS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Pozicija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Kiekis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Kaina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Viso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Atlygis kūrėjams ir atlikėjams*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Medžiagos ir priemonės meninio pasakojimo įgyvendinimui*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Aparatūros ir įrangos nuoma*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rFonts w:ascii="Helvetica" w:cs="Helvetica" w:eastAsia="Helvetica" w:hAnsi="Helvetic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" w:cs="Helvetica" w:eastAsia="Helvetica" w:hAnsi="Helvetica"/>
                <w:b w:val="1"/>
                <w:sz w:val="20"/>
                <w:szCs w:val="20"/>
                <w:rtl w:val="0"/>
              </w:rPr>
              <w:t xml:space="preserve">VISO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Helvetica" w:cs="Helvetica" w:eastAsia="Helvetica" w:hAnsi="Helveti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Helvetica" w:cs="Helvetica" w:eastAsia="Helvetica" w:hAnsi="Helveti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elvetica" w:cs="Helvetica" w:eastAsia="Helvetica" w:hAnsi="Helveti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Helvetica" w:cs="Helvetica" w:eastAsia="Helvetica" w:hAnsi="Helvetica"/>
          <w:sz w:val="20"/>
          <w:szCs w:val="20"/>
        </w:rPr>
      </w:pPr>
      <w:r w:rsidDel="00000000" w:rsidR="00000000" w:rsidRPr="00000000">
        <w:rPr>
          <w:rFonts w:ascii="Helvetica" w:cs="Helvetica" w:eastAsia="Helvetica" w:hAnsi="Helvetica"/>
          <w:sz w:val="20"/>
          <w:szCs w:val="20"/>
          <w:rtl w:val="0"/>
        </w:rPr>
        <w:t xml:space="preserve">*Būtini užpildyti laukeliai</w:t>
      </w:r>
    </w:p>
    <w:p w:rsidR="00000000" w:rsidDel="00000000" w:rsidP="00000000" w:rsidRDefault="00000000" w:rsidRPr="00000000" w14:paraId="0000004D">
      <w:pPr>
        <w:rPr>
          <w:rFonts w:ascii="Helvetica" w:cs="Helvetica" w:eastAsia="Helvetica" w:hAnsi="Helveti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Helvetica" w:cs="Helvetica" w:eastAsia="Helvetica" w:hAnsi="Helveti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Helvetica" w:cs="Helvetica" w:eastAsia="Helvetica" w:hAnsi="Helveti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 xml:space="preserve">KVIETIMO ORGANIZATORIUS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VšĮ Architektūros fondas / Open House Vilnius</w:t>
      </w:r>
    </w:p>
    <w:p w:rsidR="00000000" w:rsidDel="00000000" w:rsidP="00000000" w:rsidRDefault="00000000" w:rsidRPr="00000000" w14:paraId="00000053">
      <w:pPr>
        <w:spacing w:after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Kontaktai: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www.openhousevilnius.lt</w:t>
        </w:r>
      </w:hyperlink>
      <w:r w:rsidDel="00000000" w:rsidR="00000000" w:rsidRPr="00000000">
        <w:rPr>
          <w:sz w:val="20"/>
          <w:szCs w:val="20"/>
          <w:rtl w:val="0"/>
        </w:rPr>
        <w:t xml:space="preserve"> |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info@openhousevilnius.lt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"/>
  <w:font w:name="GT Walsheim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openhousevilnius.lt" TargetMode="External"/><Relationship Id="rId8" Type="http://schemas.openxmlformats.org/officeDocument/2006/relationships/hyperlink" Target="mailto:info@openhousevilni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